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45" w:rsidRPr="007B7F45" w:rsidRDefault="003A7F83" w:rsidP="007B7F45">
      <w:pPr>
        <w:rPr>
          <w:sz w:val="28"/>
          <w:szCs w:val="28"/>
        </w:rPr>
      </w:pPr>
      <w:r>
        <w:fldChar w:fldCharType="begin"/>
      </w:r>
      <w:r>
        <w:instrText xml:space="preserve"> HYPERLINK "http://treaties.un.org/Pages/ViewDetailsIII.aspx?&amp;src=TREATY&amp;mtdsg_no=XX~1&amp;chapter=20&amp;Temp=mtdsg3&amp;lang=en" \t "_blank" </w:instrText>
      </w:r>
      <w:r>
        <w:fldChar w:fldCharType="separate"/>
      </w:r>
      <w:r w:rsidR="007B7F45" w:rsidRPr="007B7F45">
        <w:rPr>
          <w:rStyle w:val="Hyperlink"/>
          <w:b/>
          <w:bCs/>
          <w:sz w:val="28"/>
          <w:szCs w:val="28"/>
        </w:rPr>
        <w:t>Estados Partes da Convenção de Nova York:</w:t>
      </w:r>
      <w:r>
        <w:rPr>
          <w:rStyle w:val="Hyperlink"/>
          <w:b/>
          <w:bCs/>
          <w:sz w:val="28"/>
          <w:szCs w:val="28"/>
        </w:rPr>
        <w:fldChar w:fldCharType="end"/>
      </w:r>
    </w:p>
    <w:p w:rsidR="007B7F45" w:rsidRPr="007B7F45" w:rsidRDefault="007B7F45" w:rsidP="007B7F45">
      <w:pPr>
        <w:rPr>
          <w:sz w:val="28"/>
          <w:szCs w:val="28"/>
        </w:rPr>
      </w:pPr>
      <w:r w:rsidRPr="007B7F45">
        <w:rPr>
          <w:sz w:val="28"/>
          <w:szCs w:val="28"/>
        </w:rPr>
        <w:t> </w:t>
      </w:r>
      <w:bookmarkStart w:id="0" w:name="_GoBack"/>
      <w:bookmarkEnd w:id="0"/>
    </w:p>
    <w:p w:rsidR="007B7F45" w:rsidRPr="007B7F45" w:rsidRDefault="007B7F45" w:rsidP="007B7F45">
      <w:pPr>
        <w:rPr>
          <w:sz w:val="28"/>
          <w:szCs w:val="28"/>
        </w:rPr>
      </w:pPr>
      <w:r w:rsidRPr="007B7F45">
        <w:rPr>
          <w:sz w:val="28"/>
          <w:szCs w:val="28"/>
        </w:rPr>
        <w:t xml:space="preserve">Alemanha, Argélia, Argentina, Austrália, Áustria,  Barbados, Bélgica, Bielorrússia, Bósnia &amp; </w:t>
      </w:r>
      <w:r w:rsidR="003A7F83" w:rsidRPr="007B7F45">
        <w:rPr>
          <w:sz w:val="28"/>
          <w:szCs w:val="28"/>
        </w:rPr>
        <w:t>Herzegovina</w:t>
      </w:r>
      <w:r w:rsidRPr="007B7F45">
        <w:rPr>
          <w:sz w:val="28"/>
          <w:szCs w:val="28"/>
        </w:rPr>
        <w:t xml:space="preserve">, Brasil, Burkina Faso,  Cabo Verde, Cazaquistão, Chile, China, Chipre, Colômbia, Croácia, Dinamarca,  Equador, Eslováquia, Eslovênia, </w:t>
      </w:r>
      <w:r w:rsidRPr="002711E0">
        <w:rPr>
          <w:b/>
          <w:sz w:val="28"/>
          <w:szCs w:val="28"/>
        </w:rPr>
        <w:t>Espanha</w:t>
      </w:r>
      <w:r w:rsidRPr="007B7F45">
        <w:rPr>
          <w:sz w:val="28"/>
          <w:szCs w:val="28"/>
        </w:rPr>
        <w:t xml:space="preserve">, Estônia, Filipinas, Finlândia, França,  Grécia, Guatemala, Haiti, Holanda, Hungria, Irlanda, Israel, Itália, Libéria,  Luxemburgo, Macedônia, Marrocos, </w:t>
      </w:r>
      <w:r w:rsidRPr="002711E0">
        <w:rPr>
          <w:b/>
          <w:sz w:val="28"/>
          <w:szCs w:val="28"/>
        </w:rPr>
        <w:t>México</w:t>
      </w:r>
      <w:r w:rsidRPr="007B7F45">
        <w:rPr>
          <w:sz w:val="28"/>
          <w:szCs w:val="28"/>
        </w:rPr>
        <w:t xml:space="preserve">, Moldávia, Mônaco, Montenegro, Níger,  Noruega, Nova Zelândia, Paquistão, Polônia, </w:t>
      </w:r>
      <w:r w:rsidRPr="002711E0">
        <w:rPr>
          <w:b/>
          <w:sz w:val="28"/>
          <w:szCs w:val="28"/>
        </w:rPr>
        <w:t>Portugal</w:t>
      </w:r>
      <w:r w:rsidRPr="007B7F45">
        <w:rPr>
          <w:sz w:val="28"/>
          <w:szCs w:val="28"/>
        </w:rPr>
        <w:t xml:space="preserve">, Quirguistão, Reino Unido,  República Centro-Africana, República Checa, Romênia, Santa Sé, Seicheles,  Sérvia, Sri Lanka, Suécia, Suíça, Suriname, Tunísia, Turquia, Ucrânia e  </w:t>
      </w:r>
      <w:r w:rsidRPr="002711E0">
        <w:rPr>
          <w:b/>
          <w:sz w:val="28"/>
          <w:szCs w:val="28"/>
        </w:rPr>
        <w:t>Uruguai</w:t>
      </w:r>
      <w:r w:rsidRPr="007B7F45">
        <w:rPr>
          <w:sz w:val="28"/>
          <w:szCs w:val="28"/>
        </w:rPr>
        <w:t xml:space="preserve">. A retificação da França se estende ao Departamento da Argélia, </w:t>
      </w:r>
      <w:proofErr w:type="spellStart"/>
      <w:r w:rsidRPr="007B7F45">
        <w:rPr>
          <w:sz w:val="28"/>
          <w:szCs w:val="28"/>
        </w:rPr>
        <w:t>Oases</w:t>
      </w:r>
      <w:proofErr w:type="spellEnd"/>
      <w:r w:rsidRPr="007B7F45">
        <w:rPr>
          <w:sz w:val="28"/>
          <w:szCs w:val="28"/>
        </w:rPr>
        <w:t xml:space="preserve"> e </w:t>
      </w:r>
      <w:proofErr w:type="spellStart"/>
      <w:r w:rsidRPr="007B7F45">
        <w:rPr>
          <w:sz w:val="28"/>
          <w:szCs w:val="28"/>
        </w:rPr>
        <w:t>Saoura</w:t>
      </w:r>
      <w:proofErr w:type="spellEnd"/>
      <w:r w:rsidRPr="007B7F45">
        <w:rPr>
          <w:sz w:val="28"/>
          <w:szCs w:val="28"/>
        </w:rPr>
        <w:t xml:space="preserve">, Departamento de Guadalupe, Guiana, Martinica, Reunião e Territórios de Além Mar (São Pedro e </w:t>
      </w:r>
      <w:proofErr w:type="spellStart"/>
      <w:r w:rsidRPr="007B7F45">
        <w:rPr>
          <w:sz w:val="28"/>
          <w:szCs w:val="28"/>
        </w:rPr>
        <w:t>Miquelão</w:t>
      </w:r>
      <w:proofErr w:type="spellEnd"/>
      <w:r w:rsidRPr="007B7F45">
        <w:rPr>
          <w:sz w:val="28"/>
          <w:szCs w:val="28"/>
        </w:rPr>
        <w:t>, Somalilândia Francesa, Arquipélago Cômoro, Nova Caledônia e Dependências, Polinésia Francesa).</w:t>
      </w:r>
    </w:p>
    <w:p w:rsidR="00F878A2" w:rsidRDefault="00F878A2"/>
    <w:p w:rsidR="002711E0" w:rsidRPr="002711E0" w:rsidRDefault="002711E0">
      <w:pPr>
        <w:rPr>
          <w:b/>
          <w:sz w:val="28"/>
          <w:szCs w:val="28"/>
        </w:rPr>
      </w:pPr>
      <w:r w:rsidRPr="002711E0">
        <w:rPr>
          <w:b/>
          <w:sz w:val="28"/>
          <w:szCs w:val="28"/>
        </w:rPr>
        <w:t>OBS: SEGUNDO SITE DA PGR, PORTUGAL, ESPANHA, MÉXICO E URUGUAI TEM SE MANIFESTADO PELA NÃO UTILIZAÇÃO DA NORMA CNY.</w:t>
      </w:r>
    </w:p>
    <w:sectPr w:rsidR="002711E0" w:rsidRPr="00271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45"/>
    <w:rsid w:val="002711E0"/>
    <w:rsid w:val="003A7F83"/>
    <w:rsid w:val="007B7F45"/>
    <w:rsid w:val="00F8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F3A6D-C07C-434A-8327-2655C72B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7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Vinícius da Silva Bughi</dc:creator>
  <cp:lastModifiedBy>Marcus Vinícius da Silva Bughi</cp:lastModifiedBy>
  <cp:revision>3</cp:revision>
  <dcterms:created xsi:type="dcterms:W3CDTF">2015-02-27T20:50:00Z</dcterms:created>
  <dcterms:modified xsi:type="dcterms:W3CDTF">2017-02-22T21:19:00Z</dcterms:modified>
</cp:coreProperties>
</file>